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00A6A" w14:textId="17243E20" w:rsidR="00685440" w:rsidRDefault="00582C74" w:rsidP="0071624C">
      <w:pPr>
        <w:spacing w:after="0"/>
      </w:pPr>
      <w:r>
        <w:t>Disability Advisory Commission</w:t>
      </w:r>
      <w:r w:rsidR="00685440">
        <w:t xml:space="preserve"> Inquiry</w:t>
      </w:r>
    </w:p>
    <w:p w14:paraId="2CDC6AF0" w14:textId="2AD4BD94" w:rsidR="002D24E7" w:rsidRDefault="005527DC" w:rsidP="0071624C">
      <w:pPr>
        <w:spacing w:after="0"/>
      </w:pPr>
      <w:r>
        <w:t>Key Findings and Recommendations</w:t>
      </w:r>
    </w:p>
    <w:p w14:paraId="3FA52741" w14:textId="2F3A8BCB" w:rsidR="00A82E8D" w:rsidRDefault="00A82E8D" w:rsidP="0071624C">
      <w:pPr>
        <w:spacing w:after="0"/>
      </w:pPr>
      <w:r>
        <w:t>Response Date:</w:t>
      </w:r>
      <w:r w:rsidR="00825C6E">
        <w:t xml:space="preserve"> </w:t>
      </w:r>
      <w:r w:rsidR="00BC1BFF">
        <w:t>9/3/24</w:t>
      </w:r>
    </w:p>
    <w:p w14:paraId="1FCD0B41" w14:textId="49196A50" w:rsidR="0049514D" w:rsidRPr="0049514D" w:rsidRDefault="0049514D" w:rsidP="0071624C">
      <w:pPr>
        <w:spacing w:after="0"/>
        <w:rPr>
          <w:i/>
          <w:iCs/>
        </w:rPr>
      </w:pPr>
      <w:r w:rsidRPr="0049514D">
        <w:rPr>
          <w:i/>
          <w:iCs/>
        </w:rPr>
        <w:t>Department of Health Services</w:t>
      </w:r>
    </w:p>
    <w:p w14:paraId="621B1CFC" w14:textId="174F4EDD" w:rsidR="0049514D" w:rsidRPr="0049514D" w:rsidRDefault="0049514D" w:rsidP="0071624C">
      <w:pPr>
        <w:spacing w:after="0"/>
        <w:rPr>
          <w:i/>
          <w:iCs/>
        </w:rPr>
      </w:pPr>
      <w:r w:rsidRPr="0049514D">
        <w:rPr>
          <w:i/>
          <w:iCs/>
        </w:rPr>
        <w:t>Division of Behavioral Health Services</w:t>
      </w:r>
    </w:p>
    <w:p w14:paraId="1EFF3848" w14:textId="77777777" w:rsidR="000F7FEC" w:rsidRPr="00685440" w:rsidRDefault="000F7FEC" w:rsidP="009C4C3A">
      <w:pPr>
        <w:spacing w:after="0"/>
      </w:pPr>
    </w:p>
    <w:p w14:paraId="401ED362" w14:textId="37D58DCA" w:rsidR="005439AD" w:rsidRPr="00685440" w:rsidRDefault="005439AD" w:rsidP="0071624C">
      <w:pPr>
        <w:spacing w:after="120"/>
      </w:pPr>
    </w:p>
    <w:tbl>
      <w:tblPr>
        <w:tblStyle w:val="TableGrid"/>
        <w:tblW w:w="0" w:type="auto"/>
        <w:tblCellMar>
          <w:left w:w="72" w:type="dxa"/>
          <w:right w:w="72" w:type="dxa"/>
        </w:tblCellMar>
        <w:tblLook w:val="04A0" w:firstRow="1" w:lastRow="0" w:firstColumn="1" w:lastColumn="0" w:noHBand="0" w:noVBand="1"/>
      </w:tblPr>
      <w:tblGrid>
        <w:gridCol w:w="672"/>
        <w:gridCol w:w="5950"/>
        <w:gridCol w:w="6083"/>
        <w:gridCol w:w="1685"/>
      </w:tblGrid>
      <w:tr w:rsidR="007435BB" w14:paraId="4FDE88C1" w14:textId="77777777" w:rsidTr="005527DC">
        <w:trPr>
          <w:tblHeader/>
        </w:trPr>
        <w:tc>
          <w:tcPr>
            <w:tcW w:w="674" w:type="dxa"/>
            <w:shd w:val="clear" w:color="auto" w:fill="D9D9D9" w:themeFill="background1" w:themeFillShade="D9"/>
            <w:vAlign w:val="center"/>
          </w:tcPr>
          <w:p w14:paraId="79A03D66" w14:textId="08E3D4E4" w:rsidR="007435BB" w:rsidRPr="00A82E8D" w:rsidRDefault="007435BB" w:rsidP="00582C74">
            <w:pPr>
              <w:jc w:val="center"/>
              <w:rPr>
                <w:b/>
                <w:bCs/>
              </w:rPr>
            </w:pPr>
            <w:r>
              <w:rPr>
                <w:b/>
                <w:bCs/>
              </w:rPr>
              <w:t>#</w:t>
            </w:r>
          </w:p>
        </w:tc>
        <w:tc>
          <w:tcPr>
            <w:tcW w:w="5966" w:type="dxa"/>
            <w:shd w:val="clear" w:color="auto" w:fill="D9D9D9" w:themeFill="background1" w:themeFillShade="D9"/>
            <w:vAlign w:val="center"/>
          </w:tcPr>
          <w:p w14:paraId="2E5674D7" w14:textId="1435867B" w:rsidR="007435BB" w:rsidRPr="00A82E8D" w:rsidRDefault="005527DC" w:rsidP="00582C74">
            <w:pPr>
              <w:jc w:val="center"/>
              <w:rPr>
                <w:b/>
                <w:bCs/>
              </w:rPr>
            </w:pPr>
            <w:r>
              <w:rPr>
                <w:b/>
                <w:bCs/>
              </w:rPr>
              <w:t>Key Findings and Recommendations</w:t>
            </w:r>
          </w:p>
        </w:tc>
        <w:tc>
          <w:tcPr>
            <w:tcW w:w="6102" w:type="dxa"/>
            <w:shd w:val="clear" w:color="auto" w:fill="D9D9D9" w:themeFill="background1" w:themeFillShade="D9"/>
            <w:vAlign w:val="center"/>
          </w:tcPr>
          <w:p w14:paraId="13607A5A" w14:textId="2B452718" w:rsidR="007435BB" w:rsidRPr="00A82E8D" w:rsidRDefault="00C77C2C" w:rsidP="00582C74">
            <w:pPr>
              <w:jc w:val="center"/>
              <w:rPr>
                <w:b/>
                <w:bCs/>
              </w:rPr>
            </w:pPr>
            <w:r>
              <w:rPr>
                <w:b/>
                <w:bCs/>
              </w:rPr>
              <w:t>DHS BHS</w:t>
            </w:r>
            <w:r w:rsidR="00582C74" w:rsidRPr="00A82E8D">
              <w:rPr>
                <w:b/>
                <w:bCs/>
              </w:rPr>
              <w:t xml:space="preserve"> Response</w:t>
            </w:r>
          </w:p>
        </w:tc>
        <w:tc>
          <w:tcPr>
            <w:tcW w:w="1648" w:type="dxa"/>
            <w:shd w:val="clear" w:color="auto" w:fill="D9D9D9" w:themeFill="background1" w:themeFillShade="D9"/>
            <w:vAlign w:val="center"/>
          </w:tcPr>
          <w:p w14:paraId="774291C1" w14:textId="2D5D4E8D" w:rsidR="00582C74" w:rsidRPr="00A82E8D" w:rsidRDefault="00582C74" w:rsidP="00582C74">
            <w:pPr>
              <w:rPr>
                <w:b/>
                <w:bCs/>
              </w:rPr>
            </w:pPr>
            <w:r>
              <w:rPr>
                <w:b/>
                <w:bCs/>
              </w:rPr>
              <w:t>Attachments</w:t>
            </w:r>
          </w:p>
        </w:tc>
      </w:tr>
      <w:tr w:rsidR="007435BB" w14:paraId="310C8FC2" w14:textId="77777777" w:rsidTr="005527DC">
        <w:trPr>
          <w:trHeight w:val="547"/>
        </w:trPr>
        <w:tc>
          <w:tcPr>
            <w:tcW w:w="674" w:type="dxa"/>
          </w:tcPr>
          <w:p w14:paraId="7ABC1926" w14:textId="0BDB105D" w:rsidR="007435BB" w:rsidRPr="007435BB" w:rsidRDefault="007435BB" w:rsidP="007435BB">
            <w:pPr>
              <w:pStyle w:val="ListParagraph"/>
              <w:numPr>
                <w:ilvl w:val="0"/>
                <w:numId w:val="5"/>
              </w:numPr>
              <w:rPr>
                <w:rFonts w:cstheme="minorHAnsi"/>
              </w:rPr>
            </w:pPr>
          </w:p>
        </w:tc>
        <w:tc>
          <w:tcPr>
            <w:tcW w:w="5966" w:type="dxa"/>
          </w:tcPr>
          <w:p w14:paraId="0E8B50E4" w14:textId="6148169B" w:rsidR="007435BB" w:rsidRPr="00C81FCF" w:rsidRDefault="005527DC" w:rsidP="00582C74">
            <w:pPr>
              <w:rPr>
                <w:rFonts w:cstheme="minorHAnsi"/>
              </w:rPr>
            </w:pPr>
            <w:r w:rsidRPr="005527DC">
              <w:rPr>
                <w:rFonts w:cstheme="minorHAnsi"/>
                <w:b/>
                <w:bCs/>
              </w:rPr>
              <w:t>Training</w:t>
            </w:r>
            <w:r>
              <w:rPr>
                <w:rFonts w:cstheme="minorHAnsi"/>
              </w:rPr>
              <w:t xml:space="preserve">: Behavioral Health Services crisis response teams have completed all required trainings as outlined by DHCS. We recommend including disability culture competency training specific to the needs of people with diverse disabilities. These include, but should not be limited to, the current Behavioral Health Cultural Competency course offerings, “Equity and Inclusion for People with Disabilities Using Behavioral Health Services” and “Deaf 101.” </w:t>
            </w:r>
            <w:proofErr w:type="gramStart"/>
            <w:r>
              <w:rPr>
                <w:rFonts w:cstheme="minorHAnsi"/>
              </w:rPr>
              <w:t>In order to</w:t>
            </w:r>
            <w:proofErr w:type="gramEnd"/>
            <w:r>
              <w:rPr>
                <w:rFonts w:cstheme="minorHAnsi"/>
              </w:rPr>
              <w:t xml:space="preserve"> provide the full spectrum of culturally competent service, we encourage you to seek or develop training opportunities on the abilities and needs of people who are blind or have low vision, have mobility disabilities, or have cognitive or intellectual/developmental disabilities.</w:t>
            </w:r>
          </w:p>
        </w:tc>
        <w:tc>
          <w:tcPr>
            <w:tcW w:w="6102" w:type="dxa"/>
          </w:tcPr>
          <w:p w14:paraId="1D1DC4B0" w14:textId="34AC6271" w:rsidR="007435BB" w:rsidRPr="00C81FCF" w:rsidRDefault="00C77C2C" w:rsidP="009864F2">
            <w:r>
              <w:t xml:space="preserve">Sacramento County BHS </w:t>
            </w:r>
            <w:r w:rsidR="000A0B28">
              <w:t xml:space="preserve">requires </w:t>
            </w:r>
            <w:r w:rsidR="00294B8F">
              <w:t xml:space="preserve">staff and </w:t>
            </w:r>
            <w:r w:rsidR="000A0B28">
              <w:t>contracted providers to complete Cultural Competence Training</w:t>
            </w:r>
            <w:r w:rsidR="00294B8F">
              <w:t xml:space="preserve"> (see attached)</w:t>
            </w:r>
            <w:r w:rsidR="000A0B28">
              <w:t>, currently offered through CIBHS, that includes “Equity and Inclusion for People with Disabilities Using Behavioral Health Services.” Other related trainings such as “Deaf 101” have been offered by BHS in the past</w:t>
            </w:r>
            <w:r w:rsidR="00294B8F">
              <w:t xml:space="preserve"> through our Cultural Competence/Ethnic Services unit</w:t>
            </w:r>
            <w:r w:rsidR="000A0B28">
              <w:t>. BHS continue</w:t>
            </w:r>
            <w:r w:rsidR="00294B8F">
              <w:t>s</w:t>
            </w:r>
            <w:r w:rsidR="000A0B28">
              <w:t xml:space="preserve"> to actively seek training opportunities</w:t>
            </w:r>
            <w:r w:rsidR="00B6641C">
              <w:t xml:space="preserve"> that support our mission to best serve the community</w:t>
            </w:r>
            <w:r w:rsidR="000A0B28">
              <w:t xml:space="preserve"> </w:t>
            </w:r>
            <w:r w:rsidR="00B6641C">
              <w:t>and are incorporated when identified.</w:t>
            </w:r>
          </w:p>
        </w:tc>
        <w:tc>
          <w:tcPr>
            <w:tcW w:w="1648" w:type="dxa"/>
          </w:tcPr>
          <w:p w14:paraId="247B80E5" w14:textId="570DA661" w:rsidR="007435BB" w:rsidRPr="00417275" w:rsidRDefault="000A0B28" w:rsidP="00C81FCF">
            <w:hyperlink r:id="rId7" w:history="1">
              <w:r w:rsidRPr="000A0B28">
                <w:rPr>
                  <w:rStyle w:val="Hyperlink"/>
                </w:rPr>
                <w:t>Inter-Departmental Correspondence (saccounty.gov)</w:t>
              </w:r>
            </w:hyperlink>
          </w:p>
        </w:tc>
      </w:tr>
      <w:tr w:rsidR="007435BB" w14:paraId="7CC9EDE9" w14:textId="77777777" w:rsidTr="005527DC">
        <w:trPr>
          <w:trHeight w:val="547"/>
        </w:trPr>
        <w:tc>
          <w:tcPr>
            <w:tcW w:w="674" w:type="dxa"/>
          </w:tcPr>
          <w:p w14:paraId="49F3D2A7" w14:textId="1CD87A5F" w:rsidR="007435BB" w:rsidRPr="007435BB" w:rsidRDefault="007435BB" w:rsidP="007435BB">
            <w:pPr>
              <w:pStyle w:val="ListParagraph"/>
              <w:numPr>
                <w:ilvl w:val="0"/>
                <w:numId w:val="5"/>
              </w:numPr>
            </w:pPr>
          </w:p>
        </w:tc>
        <w:tc>
          <w:tcPr>
            <w:tcW w:w="5966" w:type="dxa"/>
          </w:tcPr>
          <w:p w14:paraId="1AB15ADE" w14:textId="21D67314" w:rsidR="007435BB" w:rsidRPr="00C77C2C" w:rsidRDefault="005527DC" w:rsidP="00582C74">
            <w:r w:rsidRPr="005527DC">
              <w:rPr>
                <w:b/>
                <w:bCs/>
              </w:rPr>
              <w:t>Accessibility</w:t>
            </w:r>
            <w:r>
              <w:t>: The program primarily relies on referrals to contracted services providers for aftercare, shelter and housing. We recommend providing training to BHS staff to enable them to assess these partner organizations and ensure their full accessibility and compliance with Federal and State civil rights laws.</w:t>
            </w:r>
          </w:p>
        </w:tc>
        <w:tc>
          <w:tcPr>
            <w:tcW w:w="6102" w:type="dxa"/>
          </w:tcPr>
          <w:p w14:paraId="44AE08A0" w14:textId="5900BB6A" w:rsidR="00707616" w:rsidRDefault="00294B8F" w:rsidP="009864F2">
            <w:r>
              <w:t xml:space="preserve">In addition to the required Sacramento County BHS Cultural Competence Training noted above, </w:t>
            </w:r>
            <w:r w:rsidR="00603D1D">
              <w:t xml:space="preserve">BHS </w:t>
            </w:r>
            <w:r>
              <w:t>Policy and Procedure #QM-01-06 on Programmatic Access</w:t>
            </w:r>
            <w:r w:rsidR="00603D1D">
              <w:t xml:space="preserve"> is attached</w:t>
            </w:r>
            <w:r>
              <w:t xml:space="preserve">. </w:t>
            </w:r>
          </w:p>
          <w:p w14:paraId="01F3E169" w14:textId="77777777" w:rsidR="00294B8F" w:rsidRDefault="00294B8F" w:rsidP="009864F2"/>
          <w:p w14:paraId="65F716AF" w14:textId="530842D6" w:rsidR="00294B8F" w:rsidRDefault="00294B8F" w:rsidP="009864F2">
            <w:r>
              <w:t>BHS staff regularly monitor staff and contracted providers’ adherence to all BHS Policies and Procedures.</w:t>
            </w:r>
          </w:p>
          <w:p w14:paraId="29E52DF5" w14:textId="01841F36" w:rsidR="007435BB" w:rsidRPr="00C81FCF" w:rsidRDefault="00C77C2C" w:rsidP="009864F2">
            <w:r>
              <w:t xml:space="preserve"> </w:t>
            </w:r>
          </w:p>
        </w:tc>
        <w:tc>
          <w:tcPr>
            <w:tcW w:w="1648" w:type="dxa"/>
          </w:tcPr>
          <w:p w14:paraId="5820C8F3" w14:textId="69B05332" w:rsidR="007435BB" w:rsidRPr="00417275" w:rsidRDefault="00294B8F" w:rsidP="00DB416D">
            <w:pPr>
              <w:rPr>
                <w:rFonts w:ascii="Calibri" w:hAnsi="Calibri" w:cs="Calibri"/>
              </w:rPr>
            </w:pPr>
            <w:r>
              <w:object w:dxaOrig="1539" w:dyaOrig="997" w14:anchorId="479E4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Package" ShapeID="_x0000_i1025" DrawAspect="Icon" ObjectID="_1786955242" r:id="rId9"/>
              </w:object>
            </w:r>
          </w:p>
        </w:tc>
      </w:tr>
      <w:tr w:rsidR="007435BB" w14:paraId="25D27963" w14:textId="77777777" w:rsidTr="005527DC">
        <w:trPr>
          <w:trHeight w:val="547"/>
        </w:trPr>
        <w:tc>
          <w:tcPr>
            <w:tcW w:w="674" w:type="dxa"/>
          </w:tcPr>
          <w:p w14:paraId="5A814142" w14:textId="74CF526E" w:rsidR="007435BB" w:rsidRPr="007435BB" w:rsidRDefault="007435BB" w:rsidP="007435BB">
            <w:pPr>
              <w:pStyle w:val="ListParagraph"/>
              <w:numPr>
                <w:ilvl w:val="0"/>
                <w:numId w:val="5"/>
              </w:numPr>
            </w:pPr>
          </w:p>
        </w:tc>
        <w:tc>
          <w:tcPr>
            <w:tcW w:w="5966" w:type="dxa"/>
          </w:tcPr>
          <w:p w14:paraId="63FE3E64" w14:textId="0ADDFF29" w:rsidR="007435BB" w:rsidRDefault="005527DC" w:rsidP="00582C74">
            <w:pPr>
              <w:rPr>
                <w:highlight w:val="yellow"/>
              </w:rPr>
            </w:pPr>
            <w:r w:rsidRPr="005527DC">
              <w:rPr>
                <w:b/>
                <w:bCs/>
              </w:rPr>
              <w:t>Data Collection</w:t>
            </w:r>
            <w:r>
              <w:t>: We are awaiting information on how demographic data is collected on program participants with disabilities, as offered in your response dated December 22, 2023.</w:t>
            </w:r>
          </w:p>
        </w:tc>
        <w:tc>
          <w:tcPr>
            <w:tcW w:w="6102" w:type="dxa"/>
          </w:tcPr>
          <w:p w14:paraId="2BB1678E" w14:textId="5CD33533" w:rsidR="007435BB" w:rsidRPr="00C81FCF" w:rsidRDefault="00294B8F" w:rsidP="00294B8F">
            <w:r>
              <w:t>BHS’s Electronic Health Record captures diagnoses and primary language needs in a manner that can be reviewed in reports.  Sacramento County BHS Data Analytics Team does not collect additional demographic data as it relates to participants with disabilities.</w:t>
            </w:r>
          </w:p>
        </w:tc>
        <w:tc>
          <w:tcPr>
            <w:tcW w:w="1648" w:type="dxa"/>
          </w:tcPr>
          <w:p w14:paraId="4FDE7F9D" w14:textId="416D7EAD" w:rsidR="007435BB" w:rsidRPr="003D5735" w:rsidRDefault="007435BB" w:rsidP="00DB416D">
            <w:pPr>
              <w:rPr>
                <w:rFonts w:ascii="Calibri" w:hAnsi="Calibri" w:cs="Calibri"/>
                <w:color w:val="FF0000"/>
              </w:rPr>
            </w:pPr>
          </w:p>
        </w:tc>
      </w:tr>
      <w:tr w:rsidR="007435BB" w14:paraId="6FB00BF5" w14:textId="77777777" w:rsidTr="005527DC">
        <w:trPr>
          <w:trHeight w:val="547"/>
        </w:trPr>
        <w:tc>
          <w:tcPr>
            <w:tcW w:w="674" w:type="dxa"/>
          </w:tcPr>
          <w:p w14:paraId="3E503472" w14:textId="457A995C" w:rsidR="007435BB" w:rsidRPr="00752452" w:rsidRDefault="007435BB" w:rsidP="007435BB">
            <w:pPr>
              <w:pStyle w:val="ListParagraph"/>
              <w:numPr>
                <w:ilvl w:val="0"/>
                <w:numId w:val="5"/>
              </w:numPr>
            </w:pPr>
          </w:p>
        </w:tc>
        <w:tc>
          <w:tcPr>
            <w:tcW w:w="5966" w:type="dxa"/>
          </w:tcPr>
          <w:p w14:paraId="7FA1632E" w14:textId="77777777" w:rsidR="007435BB" w:rsidRPr="000A0B28" w:rsidRDefault="005527DC" w:rsidP="00582C74">
            <w:pPr>
              <w:rPr>
                <w:b/>
                <w:bCs/>
              </w:rPr>
            </w:pPr>
            <w:r w:rsidRPr="000A0B28">
              <w:rPr>
                <w:b/>
                <w:bCs/>
              </w:rPr>
              <w:t>Further Inquiries:</w:t>
            </w:r>
          </w:p>
          <w:p w14:paraId="2182B9C2" w14:textId="77777777" w:rsidR="005527DC" w:rsidRDefault="005527DC" w:rsidP="005527DC">
            <w:pPr>
              <w:pStyle w:val="ListParagraph"/>
              <w:numPr>
                <w:ilvl w:val="0"/>
                <w:numId w:val="6"/>
              </w:numPr>
            </w:pPr>
            <w:r w:rsidRPr="000A0B28">
              <w:rPr>
                <w:b/>
                <w:bCs/>
              </w:rPr>
              <w:t>Service Animals</w:t>
            </w:r>
            <w:r>
              <w:t>: Does the intake process inquire about the clients’ use of service dogs and emotional support animals?</w:t>
            </w:r>
          </w:p>
          <w:p w14:paraId="26E06087" w14:textId="3BCDCD66" w:rsidR="005527DC" w:rsidRPr="00752452" w:rsidRDefault="005527DC" w:rsidP="005527DC">
            <w:pPr>
              <w:pStyle w:val="ListParagraph"/>
              <w:numPr>
                <w:ilvl w:val="0"/>
                <w:numId w:val="6"/>
              </w:numPr>
            </w:pPr>
            <w:r w:rsidRPr="000A0B28">
              <w:rPr>
                <w:b/>
                <w:bCs/>
              </w:rPr>
              <w:lastRenderedPageBreak/>
              <w:t>Client Feedback</w:t>
            </w:r>
            <w:r>
              <w:t>: What is the process for gathering feedback from clients on their experience with the program’s accessibility? How is this information used to implement and enhance programs and services?</w:t>
            </w:r>
          </w:p>
        </w:tc>
        <w:tc>
          <w:tcPr>
            <w:tcW w:w="6102" w:type="dxa"/>
          </w:tcPr>
          <w:p w14:paraId="0A618382" w14:textId="29CF1E99" w:rsidR="007435BB" w:rsidRDefault="00B6641C" w:rsidP="009864F2">
            <w:r>
              <w:lastRenderedPageBreak/>
              <w:t xml:space="preserve">Sacramento County BHS crisis response teams are responsible for gathering pertinent assessment information during the intake process to provide timely crisis intervention services. </w:t>
            </w:r>
            <w:r w:rsidR="00603D1D">
              <w:t xml:space="preserve">The Crisis Dispatch </w:t>
            </w:r>
            <w:proofErr w:type="gramStart"/>
            <w:r w:rsidR="00603D1D">
              <w:t>inquires  of</w:t>
            </w:r>
            <w:proofErr w:type="gramEnd"/>
            <w:r>
              <w:t xml:space="preserve"> any individual’s use of service dogs or emotional support animals and respond accordingly.</w:t>
            </w:r>
          </w:p>
          <w:p w14:paraId="25F8DA13" w14:textId="14BC1ABC" w:rsidR="00B6641C" w:rsidRPr="00752452" w:rsidRDefault="00B6641C" w:rsidP="009864F2">
            <w:r>
              <w:lastRenderedPageBreak/>
              <w:t>BHS receives feedback from clients on their experience with the program, which is further analyzed to support any program enhancement needed.</w:t>
            </w:r>
            <w:r w:rsidR="00603D1D">
              <w:t xml:space="preserve">  A follow-up service is expected within 72 hours of the original response </w:t>
            </w:r>
            <w:proofErr w:type="gramStart"/>
            <w:r w:rsidR="00603D1D">
              <w:t>in order to</w:t>
            </w:r>
            <w:proofErr w:type="gramEnd"/>
            <w:r w:rsidR="00603D1D">
              <w:t xml:space="preserve"> identify additional needs and seek feedback. </w:t>
            </w:r>
          </w:p>
        </w:tc>
        <w:tc>
          <w:tcPr>
            <w:tcW w:w="1648" w:type="dxa"/>
          </w:tcPr>
          <w:p w14:paraId="56D2CA84" w14:textId="509A2B43" w:rsidR="007435BB" w:rsidRPr="001D356B" w:rsidRDefault="007435BB" w:rsidP="00DB416D">
            <w:pPr>
              <w:rPr>
                <w:rFonts w:ascii="Calibri" w:hAnsi="Calibri" w:cs="Calibri"/>
              </w:rPr>
            </w:pPr>
          </w:p>
        </w:tc>
      </w:tr>
      <w:tr w:rsidR="00582C74" w14:paraId="74397B39" w14:textId="77777777" w:rsidTr="005527DC">
        <w:trPr>
          <w:trHeight w:val="547"/>
        </w:trPr>
        <w:tc>
          <w:tcPr>
            <w:tcW w:w="674" w:type="dxa"/>
          </w:tcPr>
          <w:p w14:paraId="6FCEE72D" w14:textId="77777777" w:rsidR="00582C74" w:rsidRPr="00752452" w:rsidRDefault="00582C74" w:rsidP="007435BB">
            <w:pPr>
              <w:pStyle w:val="ListParagraph"/>
              <w:numPr>
                <w:ilvl w:val="0"/>
                <w:numId w:val="5"/>
              </w:numPr>
            </w:pPr>
          </w:p>
        </w:tc>
        <w:tc>
          <w:tcPr>
            <w:tcW w:w="5966" w:type="dxa"/>
          </w:tcPr>
          <w:p w14:paraId="0C04E12C" w14:textId="77777777" w:rsidR="00582C74" w:rsidRDefault="005527DC" w:rsidP="00582C74">
            <w:r w:rsidRPr="000A0B28">
              <w:rPr>
                <w:b/>
                <w:bCs/>
              </w:rPr>
              <w:t>Additional Notes</w:t>
            </w:r>
            <w:r>
              <w:t>:</w:t>
            </w:r>
          </w:p>
          <w:p w14:paraId="6F879F48" w14:textId="75CFAF4C" w:rsidR="005527DC" w:rsidRDefault="005527DC" w:rsidP="005527DC">
            <w:pPr>
              <w:pStyle w:val="ListParagraph"/>
              <w:numPr>
                <w:ilvl w:val="0"/>
                <w:numId w:val="7"/>
              </w:numPr>
            </w:pPr>
            <w:r>
              <w:t>We recommend including people with diverse disabilities in future planning and development of the program.</w:t>
            </w:r>
          </w:p>
        </w:tc>
        <w:tc>
          <w:tcPr>
            <w:tcW w:w="6102" w:type="dxa"/>
          </w:tcPr>
          <w:p w14:paraId="40F689C3" w14:textId="09D5ADA6" w:rsidR="00582C74" w:rsidRPr="00752452" w:rsidRDefault="007B288C" w:rsidP="009864F2">
            <w:r>
              <w:t xml:space="preserve"> </w:t>
            </w:r>
            <w:r w:rsidR="00294B8F">
              <w:t xml:space="preserve">Sacramento County BHS actively </w:t>
            </w:r>
            <w:r w:rsidR="00B6641C">
              <w:t>seeks community input in planning and program development that includes members with diverse disabilities.</w:t>
            </w:r>
            <w:r w:rsidR="00603D1D">
              <w:t xml:space="preserve">  DAC’s feedback will be shared with the program’s Advisory Committee. </w:t>
            </w:r>
          </w:p>
        </w:tc>
        <w:tc>
          <w:tcPr>
            <w:tcW w:w="1648" w:type="dxa"/>
          </w:tcPr>
          <w:p w14:paraId="4D0FDA60" w14:textId="77777777" w:rsidR="00582C74" w:rsidRPr="001D356B" w:rsidRDefault="00582C74" w:rsidP="00DB416D">
            <w:pPr>
              <w:rPr>
                <w:rFonts w:ascii="Calibri" w:hAnsi="Calibri" w:cs="Calibri"/>
              </w:rPr>
            </w:pPr>
          </w:p>
        </w:tc>
      </w:tr>
    </w:tbl>
    <w:p w14:paraId="69B90977" w14:textId="77777777" w:rsidR="002D24E7" w:rsidRDefault="002D24E7"/>
    <w:sectPr w:rsidR="002D24E7" w:rsidSect="007B23CD">
      <w:headerReference w:type="default" r:id="rId10"/>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FFFE2" w14:textId="77777777" w:rsidR="00CA260B" w:rsidRDefault="00CA260B" w:rsidP="006800DA">
      <w:pPr>
        <w:spacing w:after="0" w:line="240" w:lineRule="auto"/>
      </w:pPr>
      <w:r>
        <w:separator/>
      </w:r>
    </w:p>
  </w:endnote>
  <w:endnote w:type="continuationSeparator" w:id="0">
    <w:p w14:paraId="7E12872F" w14:textId="77777777" w:rsidR="00CA260B" w:rsidRDefault="00CA260B" w:rsidP="00680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57A8B" w14:textId="77777777" w:rsidR="00CA260B" w:rsidRDefault="00CA260B" w:rsidP="006800DA">
      <w:pPr>
        <w:spacing w:after="0" w:line="240" w:lineRule="auto"/>
      </w:pPr>
      <w:r>
        <w:separator/>
      </w:r>
    </w:p>
  </w:footnote>
  <w:footnote w:type="continuationSeparator" w:id="0">
    <w:p w14:paraId="2737E7AB" w14:textId="77777777" w:rsidR="00CA260B" w:rsidRDefault="00CA260B" w:rsidP="00680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6410C" w14:textId="1CEED343" w:rsidR="009C4C3A" w:rsidRDefault="009C4C3A">
    <w:pPr>
      <w:pStyle w:val="Header"/>
      <w:rPr>
        <w:b/>
        <w:i/>
      </w:rPr>
    </w:pPr>
    <w:r>
      <w:tab/>
    </w:r>
    <w:r>
      <w:tab/>
    </w:r>
    <w:r>
      <w:tab/>
    </w:r>
  </w:p>
  <w:p w14:paraId="34FA3051" w14:textId="77777777" w:rsidR="009C4C3A" w:rsidRPr="009C4C3A" w:rsidRDefault="009C4C3A">
    <w:pPr>
      <w:pStyle w:val="Header"/>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32807"/>
    <w:multiLevelType w:val="hybridMultilevel"/>
    <w:tmpl w:val="72D619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73B87"/>
    <w:multiLevelType w:val="hybridMultilevel"/>
    <w:tmpl w:val="14BE3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366FF"/>
    <w:multiLevelType w:val="hybridMultilevel"/>
    <w:tmpl w:val="7BA26248"/>
    <w:lvl w:ilvl="0" w:tplc="31FCF0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43A45"/>
    <w:multiLevelType w:val="hybridMultilevel"/>
    <w:tmpl w:val="444C7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4174333D"/>
    <w:multiLevelType w:val="hybridMultilevel"/>
    <w:tmpl w:val="D5CEE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DD7535"/>
    <w:multiLevelType w:val="hybridMultilevel"/>
    <w:tmpl w:val="EA0A23F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0E2A2C"/>
    <w:multiLevelType w:val="hybridMultilevel"/>
    <w:tmpl w:val="2A38F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4823036">
    <w:abstractNumId w:val="3"/>
  </w:num>
  <w:num w:numId="2" w16cid:durableId="1708021320">
    <w:abstractNumId w:val="4"/>
  </w:num>
  <w:num w:numId="3" w16cid:durableId="366757559">
    <w:abstractNumId w:val="6"/>
  </w:num>
  <w:num w:numId="4" w16cid:durableId="597643964">
    <w:abstractNumId w:val="2"/>
  </w:num>
  <w:num w:numId="5" w16cid:durableId="275412254">
    <w:abstractNumId w:val="5"/>
  </w:num>
  <w:num w:numId="6" w16cid:durableId="33819569">
    <w:abstractNumId w:val="0"/>
  </w:num>
  <w:num w:numId="7" w16cid:durableId="898588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E7"/>
    <w:rsid w:val="000125C5"/>
    <w:rsid w:val="00014C39"/>
    <w:rsid w:val="00063002"/>
    <w:rsid w:val="0007246E"/>
    <w:rsid w:val="0009049A"/>
    <w:rsid w:val="000A0B28"/>
    <w:rsid w:val="000A3504"/>
    <w:rsid w:val="000B4DD1"/>
    <w:rsid w:val="000B5302"/>
    <w:rsid w:val="000C2598"/>
    <w:rsid w:val="000E1146"/>
    <w:rsid w:val="000E2044"/>
    <w:rsid w:val="000F7FD1"/>
    <w:rsid w:val="000F7FEC"/>
    <w:rsid w:val="00105FD2"/>
    <w:rsid w:val="0010799E"/>
    <w:rsid w:val="001705A3"/>
    <w:rsid w:val="001B0FBA"/>
    <w:rsid w:val="001C24E8"/>
    <w:rsid w:val="001C6A5D"/>
    <w:rsid w:val="001D356B"/>
    <w:rsid w:val="0021768E"/>
    <w:rsid w:val="00274559"/>
    <w:rsid w:val="002923A7"/>
    <w:rsid w:val="00294B8F"/>
    <w:rsid w:val="002B1A57"/>
    <w:rsid w:val="002B4024"/>
    <w:rsid w:val="002B7644"/>
    <w:rsid w:val="002C711E"/>
    <w:rsid w:val="002D24E7"/>
    <w:rsid w:val="002E1F29"/>
    <w:rsid w:val="002E368D"/>
    <w:rsid w:val="002F653C"/>
    <w:rsid w:val="00356A9D"/>
    <w:rsid w:val="003D41B8"/>
    <w:rsid w:val="003D5735"/>
    <w:rsid w:val="003E262A"/>
    <w:rsid w:val="003E77A6"/>
    <w:rsid w:val="003F0ED8"/>
    <w:rsid w:val="003F5610"/>
    <w:rsid w:val="004019F1"/>
    <w:rsid w:val="00417275"/>
    <w:rsid w:val="00430AEA"/>
    <w:rsid w:val="00431A1D"/>
    <w:rsid w:val="004337E5"/>
    <w:rsid w:val="0044223F"/>
    <w:rsid w:val="00453C06"/>
    <w:rsid w:val="00475578"/>
    <w:rsid w:val="00482F93"/>
    <w:rsid w:val="0049110B"/>
    <w:rsid w:val="0049514D"/>
    <w:rsid w:val="004B0EC6"/>
    <w:rsid w:val="004C4562"/>
    <w:rsid w:val="004D00B1"/>
    <w:rsid w:val="004D0EA0"/>
    <w:rsid w:val="004D3842"/>
    <w:rsid w:val="00517436"/>
    <w:rsid w:val="00525280"/>
    <w:rsid w:val="00527DCE"/>
    <w:rsid w:val="005408E3"/>
    <w:rsid w:val="005439AD"/>
    <w:rsid w:val="005527DC"/>
    <w:rsid w:val="00553247"/>
    <w:rsid w:val="005671C6"/>
    <w:rsid w:val="00573C24"/>
    <w:rsid w:val="00582C74"/>
    <w:rsid w:val="00594949"/>
    <w:rsid w:val="005C76A4"/>
    <w:rsid w:val="005E4787"/>
    <w:rsid w:val="00603D1D"/>
    <w:rsid w:val="0066505E"/>
    <w:rsid w:val="006800DA"/>
    <w:rsid w:val="00685440"/>
    <w:rsid w:val="00691B24"/>
    <w:rsid w:val="00691E12"/>
    <w:rsid w:val="006A5FE0"/>
    <w:rsid w:val="006E24B4"/>
    <w:rsid w:val="00707616"/>
    <w:rsid w:val="0071624C"/>
    <w:rsid w:val="00721A09"/>
    <w:rsid w:val="00721FEB"/>
    <w:rsid w:val="0072317E"/>
    <w:rsid w:val="007435BB"/>
    <w:rsid w:val="00752452"/>
    <w:rsid w:val="0075739F"/>
    <w:rsid w:val="007B23CD"/>
    <w:rsid w:val="007B288C"/>
    <w:rsid w:val="007C716E"/>
    <w:rsid w:val="008007FB"/>
    <w:rsid w:val="00825C6E"/>
    <w:rsid w:val="00860ED0"/>
    <w:rsid w:val="00861957"/>
    <w:rsid w:val="008A75C4"/>
    <w:rsid w:val="008B1D23"/>
    <w:rsid w:val="008C1627"/>
    <w:rsid w:val="008E38D8"/>
    <w:rsid w:val="00922692"/>
    <w:rsid w:val="00923A0B"/>
    <w:rsid w:val="0092538F"/>
    <w:rsid w:val="009271C8"/>
    <w:rsid w:val="00940989"/>
    <w:rsid w:val="0098120F"/>
    <w:rsid w:val="009A586A"/>
    <w:rsid w:val="009B0918"/>
    <w:rsid w:val="009B7CAE"/>
    <w:rsid w:val="009C4C3A"/>
    <w:rsid w:val="009C5AC5"/>
    <w:rsid w:val="009D42DD"/>
    <w:rsid w:val="009E5625"/>
    <w:rsid w:val="009F79EB"/>
    <w:rsid w:val="00A326D7"/>
    <w:rsid w:val="00A32CB7"/>
    <w:rsid w:val="00A55F2A"/>
    <w:rsid w:val="00A76BF7"/>
    <w:rsid w:val="00A82E8D"/>
    <w:rsid w:val="00A84B8B"/>
    <w:rsid w:val="00A8636C"/>
    <w:rsid w:val="00AD5767"/>
    <w:rsid w:val="00AE5FB5"/>
    <w:rsid w:val="00AF0A19"/>
    <w:rsid w:val="00AF4102"/>
    <w:rsid w:val="00B05AA9"/>
    <w:rsid w:val="00B37707"/>
    <w:rsid w:val="00B50AE8"/>
    <w:rsid w:val="00B562B3"/>
    <w:rsid w:val="00B6641C"/>
    <w:rsid w:val="00B91A54"/>
    <w:rsid w:val="00BB357B"/>
    <w:rsid w:val="00BC1BFF"/>
    <w:rsid w:val="00BC1DE9"/>
    <w:rsid w:val="00BC47A6"/>
    <w:rsid w:val="00BC5B14"/>
    <w:rsid w:val="00BF1DBD"/>
    <w:rsid w:val="00C02C54"/>
    <w:rsid w:val="00C068D7"/>
    <w:rsid w:val="00C14030"/>
    <w:rsid w:val="00C411BC"/>
    <w:rsid w:val="00C54547"/>
    <w:rsid w:val="00C55800"/>
    <w:rsid w:val="00C61D3B"/>
    <w:rsid w:val="00C66167"/>
    <w:rsid w:val="00C71EED"/>
    <w:rsid w:val="00C77C2C"/>
    <w:rsid w:val="00C81FCF"/>
    <w:rsid w:val="00C82E57"/>
    <w:rsid w:val="00C9320E"/>
    <w:rsid w:val="00CA260B"/>
    <w:rsid w:val="00CB1A02"/>
    <w:rsid w:val="00CD555F"/>
    <w:rsid w:val="00CD7F7E"/>
    <w:rsid w:val="00CF7E3A"/>
    <w:rsid w:val="00D20022"/>
    <w:rsid w:val="00D21171"/>
    <w:rsid w:val="00D61091"/>
    <w:rsid w:val="00D93772"/>
    <w:rsid w:val="00DB416D"/>
    <w:rsid w:val="00DB551C"/>
    <w:rsid w:val="00DB65FC"/>
    <w:rsid w:val="00DC00D2"/>
    <w:rsid w:val="00DD1BFA"/>
    <w:rsid w:val="00DE5B94"/>
    <w:rsid w:val="00DF0664"/>
    <w:rsid w:val="00DF1A48"/>
    <w:rsid w:val="00E00363"/>
    <w:rsid w:val="00E154AC"/>
    <w:rsid w:val="00E17EF6"/>
    <w:rsid w:val="00E234F7"/>
    <w:rsid w:val="00E43F97"/>
    <w:rsid w:val="00E64E60"/>
    <w:rsid w:val="00E823C7"/>
    <w:rsid w:val="00EA1C60"/>
    <w:rsid w:val="00EB4D0F"/>
    <w:rsid w:val="00ED00E1"/>
    <w:rsid w:val="00EE46CA"/>
    <w:rsid w:val="00F007C4"/>
    <w:rsid w:val="00F04013"/>
    <w:rsid w:val="00F22FBE"/>
    <w:rsid w:val="00F511A3"/>
    <w:rsid w:val="00F56398"/>
    <w:rsid w:val="00FA3B28"/>
    <w:rsid w:val="00FA5BF4"/>
    <w:rsid w:val="00FB7683"/>
    <w:rsid w:val="00FC0799"/>
    <w:rsid w:val="00FC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33D8F38"/>
  <w15:chartTrackingRefBased/>
  <w15:docId w15:val="{7EFB2C69-736C-4834-9CFA-25EAB862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0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0DA"/>
  </w:style>
  <w:style w:type="paragraph" w:styleId="Footer">
    <w:name w:val="footer"/>
    <w:basedOn w:val="Normal"/>
    <w:link w:val="FooterChar"/>
    <w:uiPriority w:val="99"/>
    <w:unhideWhenUsed/>
    <w:rsid w:val="00680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0DA"/>
  </w:style>
  <w:style w:type="character" w:styleId="Hyperlink">
    <w:name w:val="Hyperlink"/>
    <w:basedOn w:val="DefaultParagraphFont"/>
    <w:uiPriority w:val="99"/>
    <w:unhideWhenUsed/>
    <w:rsid w:val="00BB357B"/>
    <w:rPr>
      <w:color w:val="0563C1" w:themeColor="hyperlink"/>
      <w:u w:val="single"/>
    </w:rPr>
  </w:style>
  <w:style w:type="paragraph" w:styleId="ListParagraph">
    <w:name w:val="List Paragraph"/>
    <w:basedOn w:val="Normal"/>
    <w:uiPriority w:val="34"/>
    <w:qFormat/>
    <w:rsid w:val="00C9320E"/>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9253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8F"/>
    <w:rPr>
      <w:rFonts w:ascii="Segoe UI" w:hAnsi="Segoe UI" w:cs="Segoe UI"/>
      <w:sz w:val="18"/>
      <w:szCs w:val="18"/>
    </w:rPr>
  </w:style>
  <w:style w:type="character" w:styleId="CommentReference">
    <w:name w:val="annotation reference"/>
    <w:basedOn w:val="DefaultParagraphFont"/>
    <w:uiPriority w:val="99"/>
    <w:semiHidden/>
    <w:unhideWhenUsed/>
    <w:rsid w:val="005439AD"/>
    <w:rPr>
      <w:sz w:val="16"/>
      <w:szCs w:val="16"/>
    </w:rPr>
  </w:style>
  <w:style w:type="paragraph" w:styleId="CommentText">
    <w:name w:val="annotation text"/>
    <w:basedOn w:val="Normal"/>
    <w:link w:val="CommentTextChar"/>
    <w:uiPriority w:val="99"/>
    <w:unhideWhenUsed/>
    <w:rsid w:val="005439AD"/>
    <w:pPr>
      <w:spacing w:line="240" w:lineRule="auto"/>
    </w:pPr>
    <w:rPr>
      <w:sz w:val="20"/>
      <w:szCs w:val="20"/>
    </w:rPr>
  </w:style>
  <w:style w:type="character" w:customStyle="1" w:styleId="CommentTextChar">
    <w:name w:val="Comment Text Char"/>
    <w:basedOn w:val="DefaultParagraphFont"/>
    <w:link w:val="CommentText"/>
    <w:uiPriority w:val="99"/>
    <w:rsid w:val="005439AD"/>
    <w:rPr>
      <w:sz w:val="20"/>
      <w:szCs w:val="20"/>
    </w:rPr>
  </w:style>
  <w:style w:type="paragraph" w:styleId="CommentSubject">
    <w:name w:val="annotation subject"/>
    <w:basedOn w:val="CommentText"/>
    <w:next w:val="CommentText"/>
    <w:link w:val="CommentSubjectChar"/>
    <w:uiPriority w:val="99"/>
    <w:semiHidden/>
    <w:unhideWhenUsed/>
    <w:rsid w:val="0072317E"/>
    <w:rPr>
      <w:b/>
      <w:bCs/>
    </w:rPr>
  </w:style>
  <w:style w:type="character" w:customStyle="1" w:styleId="CommentSubjectChar">
    <w:name w:val="Comment Subject Char"/>
    <w:basedOn w:val="CommentTextChar"/>
    <w:link w:val="CommentSubject"/>
    <w:uiPriority w:val="99"/>
    <w:semiHidden/>
    <w:rsid w:val="0072317E"/>
    <w:rPr>
      <w:b/>
      <w:bCs/>
      <w:sz w:val="20"/>
      <w:szCs w:val="20"/>
    </w:rPr>
  </w:style>
  <w:style w:type="paragraph" w:styleId="Revision">
    <w:name w:val="Revision"/>
    <w:hidden/>
    <w:uiPriority w:val="99"/>
    <w:semiHidden/>
    <w:rsid w:val="000B4DD1"/>
    <w:pPr>
      <w:spacing w:after="0" w:line="240" w:lineRule="auto"/>
    </w:pPr>
  </w:style>
  <w:style w:type="character" w:styleId="UnresolvedMention">
    <w:name w:val="Unresolved Mention"/>
    <w:basedOn w:val="DefaultParagraphFont"/>
    <w:uiPriority w:val="99"/>
    <w:semiHidden/>
    <w:unhideWhenUsed/>
    <w:rsid w:val="000A0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99081">
      <w:bodyDiv w:val="1"/>
      <w:marLeft w:val="0"/>
      <w:marRight w:val="0"/>
      <w:marTop w:val="0"/>
      <w:marBottom w:val="0"/>
      <w:divBdr>
        <w:top w:val="none" w:sz="0" w:space="0" w:color="auto"/>
        <w:left w:val="none" w:sz="0" w:space="0" w:color="auto"/>
        <w:bottom w:val="none" w:sz="0" w:space="0" w:color="auto"/>
        <w:right w:val="none" w:sz="0" w:space="0" w:color="auto"/>
      </w:divBdr>
    </w:div>
    <w:div w:id="164638336">
      <w:bodyDiv w:val="1"/>
      <w:marLeft w:val="0"/>
      <w:marRight w:val="0"/>
      <w:marTop w:val="0"/>
      <w:marBottom w:val="0"/>
      <w:divBdr>
        <w:top w:val="none" w:sz="0" w:space="0" w:color="auto"/>
        <w:left w:val="none" w:sz="0" w:space="0" w:color="auto"/>
        <w:bottom w:val="none" w:sz="0" w:space="0" w:color="auto"/>
        <w:right w:val="none" w:sz="0" w:space="0" w:color="auto"/>
      </w:divBdr>
    </w:div>
    <w:div w:id="1042556174">
      <w:bodyDiv w:val="1"/>
      <w:marLeft w:val="0"/>
      <w:marRight w:val="0"/>
      <w:marTop w:val="0"/>
      <w:marBottom w:val="0"/>
      <w:divBdr>
        <w:top w:val="none" w:sz="0" w:space="0" w:color="auto"/>
        <w:left w:val="none" w:sz="0" w:space="0" w:color="auto"/>
        <w:bottom w:val="none" w:sz="0" w:space="0" w:color="auto"/>
        <w:right w:val="none" w:sz="0" w:space="0" w:color="auto"/>
      </w:divBdr>
    </w:div>
    <w:div w:id="1707632934">
      <w:bodyDiv w:val="1"/>
      <w:marLeft w:val="0"/>
      <w:marRight w:val="0"/>
      <w:marTop w:val="0"/>
      <w:marBottom w:val="0"/>
      <w:divBdr>
        <w:top w:val="none" w:sz="0" w:space="0" w:color="auto"/>
        <w:left w:val="none" w:sz="0" w:space="0" w:color="auto"/>
        <w:bottom w:val="none" w:sz="0" w:space="0" w:color="auto"/>
        <w:right w:val="none" w:sz="0" w:space="0" w:color="auto"/>
      </w:divBdr>
    </w:div>
    <w:div w:id="1811706441">
      <w:bodyDiv w:val="1"/>
      <w:marLeft w:val="0"/>
      <w:marRight w:val="0"/>
      <w:marTop w:val="0"/>
      <w:marBottom w:val="0"/>
      <w:divBdr>
        <w:top w:val="none" w:sz="0" w:space="0" w:color="auto"/>
        <w:left w:val="none" w:sz="0" w:space="0" w:color="auto"/>
        <w:bottom w:val="none" w:sz="0" w:space="0" w:color="auto"/>
        <w:right w:val="none" w:sz="0" w:space="0" w:color="auto"/>
      </w:divBdr>
    </w:div>
    <w:div w:id="1848521363">
      <w:bodyDiv w:val="1"/>
      <w:marLeft w:val="0"/>
      <w:marRight w:val="0"/>
      <w:marTop w:val="0"/>
      <w:marBottom w:val="0"/>
      <w:divBdr>
        <w:top w:val="none" w:sz="0" w:space="0" w:color="auto"/>
        <w:left w:val="none" w:sz="0" w:space="0" w:color="auto"/>
        <w:bottom w:val="none" w:sz="0" w:space="0" w:color="auto"/>
        <w:right w:val="none" w:sz="0" w:space="0" w:color="auto"/>
      </w:divBdr>
    </w:div>
    <w:div w:id="197389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dhs.saccounty.gov/BHS/Documents/BHREC/CC%20Training/FY%202023-25%20Required%20Cultural%20Competence%20Training%20Letter_rev.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6506066-0D46-4125-B5B3-F6768B17D866}"/>
</file>

<file path=customXml/itemProps2.xml><?xml version="1.0" encoding="utf-8"?>
<ds:datastoreItem xmlns:ds="http://schemas.openxmlformats.org/officeDocument/2006/customXml" ds:itemID="{FE76BD67-8C11-4E0A-8EDB-9F27417AA4E0}"/>
</file>

<file path=customXml/itemProps3.xml><?xml version="1.0" encoding="utf-8"?>
<ds:datastoreItem xmlns:ds="http://schemas.openxmlformats.org/officeDocument/2006/customXml" ds:itemID="{DCFAF9F9-3BF2-460B-BBE2-C510224FDA34}"/>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44</TotalTime>
  <Pages>2</Pages>
  <Words>544</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Damiano. Sandy</dc:creator>
  <cp:keywords/>
  <dc:description/>
  <cp:lastModifiedBy>Kelly. Stephanie</cp:lastModifiedBy>
  <cp:revision>3</cp:revision>
  <cp:lastPrinted>2022-03-23T17:16:00Z</cp:lastPrinted>
  <dcterms:created xsi:type="dcterms:W3CDTF">2024-09-04T18:39:00Z</dcterms:created>
  <dcterms:modified xsi:type="dcterms:W3CDTF">2024-09-04T18:40:00Z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0db4d514d4c2b8c5a897ac7ec4beeacde30b9f4aa942ffdcea8623b037fa8a76</vt:lpwstr>
  </property>
  <property fmtid="{D5CDD505-2E9C-101B-9397-08002B2CF9AE}" pid="3" name="ContentTypeId">
    <vt:lpwstr>0x01010067B5ACB96C7F2C4580B06E8AC9FC6C7F</vt:lpwstr>
  </property>
</Properties>
</file>